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096. “后备箱市集，烟火新潮”——青年市集、后备箱集市摆摊与消费参与研究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建议地区：乡村（可按省/市细化抽样框）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确定行业：07_零售商业与消费新形态（选择理由：贴合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研究对象：参与过或逛过青年市集/后备箱集市的摊主与消费者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核心问题/变量：参与动机（副业/社交/体验）、收入情况、摊位费用接受、消费体验、再参与意愿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H1：参与动机（副业/社交/体验）、收入情况显著影响再参与意愿（待验证）；H2：不同人群（年龄/收入/城市等级）在上述关系中存在调节作用（待验证）。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🔶青年市集/后备箱集市为城市夜经济新形态（多地媒体报道，需引用具体城市案例）；✅商务部培育夜间消费集聚区（政策背景）；✅2026上半年乡村消费品零售额33216亿元（消费扩容背景）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当地市集现场调研（摊主访谈+消费者问卷）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🔶青年市集/后备箱集市为城市夜经济新形态（多地媒体报道，需引用具体城市案例）；✅商务部培育夜间消费集聚区（政策背景）；✅2026上半年乡村消费品零售额33216亿元（消费扩容背景）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