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975. “外贸尾单店，捡漏外贸货”——外贸尾单（原单、剪标）消费研究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研究对象：购买外贸尾单/原单服饰的消费者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核心问题/变量：尾单购买动机（大牌平替/性价比）、真伪与瑕疵（剪标）、渠道（直播/实体/微商）、消费体验（尺码/退换）、复购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H1：尾单购买动机（大牌平替/性价比）、真伪与瑕疵（剪标）显著影响复购（待验证）；H2：不同人群（年龄/收入/城市等级）在上述关系中存在调节作用（待验证）。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🔶商品标识与商标侵权边界（市场监管总局）；🔶外贸尾单市场报道（须下载核验）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尾单店问卷+直播渠道访谈；获奖黑名单核对：近三年无外贸尾单获奖题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🔶商品标识与商标侵权边界（市场监管总局）；🔶外贸尾单市场报道（须下载核验）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