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1018. “屋顶经济，天台露营”——城市屋顶空间改造（屋顶咖啡、天台露营）消费研究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研究对象：光顾屋顶商业空间（屋顶咖啡、天台露营、屋顶酒吧）的消费者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核心问题/变量：屋顶空间消费动机（氛围/夜景/出片）、价格溢价接受、改造内容（露营布景/观景）、城市天台复购、物业配合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H1：屋顶空间消费动机（氛围/夜景/出片）、价格溢价接受显著影响物业配合（待验证）；H2：不同人群（年龄/收入/城市等级）在上述关系中存在调节作用（待验证）。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🔶城市更新与低效空间盘活政策（住建部）；🔶屋顶经济案例报道（须下载核验）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屋顶业态实地问卷+运营方访谈；获奖黑名单核对：近三年无屋顶经济获奖题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🔶城市更新与低效空间盘活政策（住建部）；🔶屋顶经济案例报道（须下载核验）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