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1099. “共有产权房，半价买房”——共有产权住房（代持比例）申购与居住研究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研究对象：申购/入住共有产权房的家庭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核心问题/变量：共有产权房决策（半价购房/产权比例）、申购门槛（户籍/收入）、回购与退出（卖房流程）、居住体验、与其他保障房对比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共有产权房决策（半价购房/产权比例）、申购门槛（户籍/收入）（与其他保障房对比）之间存在可检验的关系，且受群体差异（年龄/收入/地区/身份）调节（待验证）；H2：共有产权房决策（半价购房/产权比例）、申购门槛（户籍/收入）是影响与其他保障房对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🔶共有产权住房政策（住建部、试点城市）；🔶共有产权房数据（须下载核验）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共有产权项目问卷+住建部门访谈；获奖黑名单核对：近三年无共有产权房获奖题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🔶共有产权住房政策（住建部、试点城市）；🔶共有产权房数据（须下载核验）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