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1188. “租房新规，押金直达监管”——住房租赁押金监管（新规）租客体验研究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确定行业：08_居住与城市更新（选择理由：贴合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研究对象：适用押金监管新规（押一付一/资金存管）的租客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核心问题/变量：押金监管知晓（第三方存管）、退押速度（新规后）、租金贷整治、押金纠纷率、租客权益感知、中介执行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押金监管知晓（第三方存管）、退押速度（新规后）（中介执行）之间存在可检验的关系，且受群体差异（年龄/收入/地区/身份）调节（待验证）；H2：押金监管知晓（第三方存管）、退押速度（新规后）是影响中介执行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🔶住房租赁押金与租金监管新规（住建部、地方条例）；🔶租赁纠纷数据（消协须下载核验）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租客问卷+住建部门访谈；获奖黑名单核对：近三年无押金监管获奖题（区别于610押金泛题、933租金贷，聚焦新规落地体验）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🔶住房租赁押金与租金监管新规（住建部、地方条例）；🔶租赁纠纷数据（消协须下载核验）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