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1189. “第四代住宅，空中花园洋房”——第四代住宅（立体园林）购房偏好研究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研究对象：关注/购买第四代住宅（空中花园）的置业者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核心问题/变量：第四代住宅认知（露台/挑高）、购买偏好（赠送面积）、物业维护（花园）、隐私（对视）、价格溢价接受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第四代住宅认知（露台/挑高）、购买偏好（赠送面积）（价格溢价接受）之间存在可检验的关系，且受群体差异（年龄/收入/地区/身份）调节（待验证）；H2：第四代住宅认知（露台/挑高）、购买偏好（赠送面积）是影响价格溢价接受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🔶好房子与住宅品质政策（住建部）；🔶第四代住宅试点数据（须下载核验）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楼盘渠道问卷+房企访谈；获奖黑名单核对：近三年无第四代住宅获奖题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🔶好房子与住宅品质政策（住建部）；🔶第四代住宅试点数据（须下载核验）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