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1190. “老楼装电梯后，爬楼权之争”——既有住宅加梯（高低层博弈）协商研究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确定行业：08_居住与城市更新（选择理由：贴合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研究对象：参与既有住宅加装电梯协商（成功/卡壳）的业主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核心问题/变量：加梯决策（三分之二表决）、高低层利益（采光/补偿）、反对意见处理、费用分摊（楼层系数）、政府补贴、一票否决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加梯决策（三分之二表决）、高低层利益（采光/补偿）（一票否决）之间存在可检验的关系，且受群体差异（年龄/收入/地区/身份）调节（待验证）；H2：加梯决策（三分之二表决）、高低层利益（采光/补偿）是影响一票否决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🔶加装电梯政策与表决机制（住建部、地方条例）；🔶加梯协商案例（须下载核验）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小区业主问卷+街道访谈；获奖黑名单核对：近三年无加梯协商获奖题（区别于913/953/1090加梯工程与运维，聚焦决策协商机制）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🔶加装电梯政策与表决机制（住建部、地方条例）；🔶加梯协商案例（须下载核验）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