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1226. “超大特大城市更新，地下管网革命”——城市地下管网改造（老城区）实施研究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研究对象：经历老城区地下管网改造（燃气/污水/水电）的居民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核心问题/变量：管网老化问题（漏水/燃气安全）、改造施工影响（道路开挖/停水）、改造进度与质量、居民生活干扰、满意度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管网老化问题（漏水/燃气安全）、改造施工影响（道路开挖/停水）（满意度）之间存在可检验的关系，且受群体差异（年龄/收入/地区/身份）调节（待验证）；H2：管网老化问题（漏水/燃气安全）、改造施工影响（道路开挖/停水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🔶城市地下管网更新改造政策（住建部、发改委）；🔶管网改造数据（须下载核验）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改造片区问卷+住建部门访谈；获奖黑名单核对：近三年无地下管网改造获奖题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🔶城市地下管网更新改造政策（住建部、发改委）；🔶管网改造数据（须下载核验）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