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1228. “老小区装电梯新规，就得这么办”——既有住宅加梯新规（表决比例提高）研究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研究对象：适用加梯新规（三分之二同意即可加装）的业主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核心问题/变量：加梯新规（表决门槛调整）、强制加装争议（低层反对）、补偿机制（要价）、政府代建、新规后开工率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H1：加梯新规（表决门槛调整）、强制加装争议（低层反对）显著影响新规后开工率（待验证）；H2：不同人群（年龄/收入/城市等级）在上述关系中存在调节作用（待验证）。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🔶加装电梯新政（地方条例、住建部）；🔶新规加梯数据（须下载核验）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小区业主问卷+街道访谈；获奖黑名单核对：近三年无加梯新规表决获奖题（区别于1190协商泛题，聚焦新规门槛变化）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🔶加装电梯新政（地方条例、住建部）；🔶新规加梯数据（须下载核验）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