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1229. “城中村改造，村民变房东”——城中村改造（房票、回迁）村民消费研究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建议地区：城中村（可按省/市细化抽样框）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研究对象：经历城中村改造（房票安置/回迁）的村民与租客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核心问题/变量：城中村改造补偿（房票vs现金）、回迁房品质、村民租金收入变化、租客搬家潮、改造后商业、安置满意度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H1：城中村改造补偿（房票vs现金）、回迁房品质显著影响安置满意度（待验证）；H2：不同人群（年龄/收入/城市等级）在上述关系中存在调节作用（待验证）。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🔶城中村改造政策（国务院、住建部）；🔶房票安置数据（须下载核验）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改造片区问卷+住建部门访谈；获奖黑名单核对：近三年无城中村改造补偿获奖题（区别于967城中村改造泛题，聚焦安置补偿消费）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🔶城中村改造政策（国务院、住建部）；🔶房票安置数据（须下载核验）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