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1230. “全屋智能家装，装修新物种”——全屋智能（家装集成）消费研究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研究对象：装修时做全屋智能（智能照明/安防/语音）的家庭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核心问题/变量：全屋智能装修预算（1-5万）、方案选择（品牌整包vs自配）、生态联动（米家/华为）、安装调试体验、售后维护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H1：全屋智能装修预算（1-5万）、方案选择（品牌整包vs自配）显著影响售后维护（待验证）；H2：不同人群（年龄/收入/城市等级）在上述关系中存在调节作用（待验证）。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🔶智能家居与绿色智能建筑政策（住建部）；🔶全屋智能家装数据（须下载核验）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家装公司渠道+业主问卷；获奖黑名单核对：近三年无全屋智能装修获奖题（区别于741全屋智能泛题，聚焦装修集成化）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🔶智能家居与绿色智能建筑政策（住建部）；🔶全屋智能家装数据（须下载核验）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