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1332. “老公房改造，老宅新生活”——老公房、老新村综合改造（居民）研究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研究对象：经历老公房综合改造（厨卫/外立面/管线）的居民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核心问题/变量：老公房改造内容（厨卫成套/保温）、改造费用分担、施工期间居住（搬离/暂住）、改造后房价与生活、居民满意度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公房改造内容（厨卫成套/保温）、改造费用分担（居民满意度）之间存在可检验的关系，且受群体差异（年龄/收入/地区/身份）调节（待验证）；H2：老公房改造内容（厨卫成套/保温）、改造费用分担是影响居民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🔶城镇老旧小区改造政策（住建部）；🔶改造项目数据（须下载核验）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改造小区问卷+住建部门访谈；获奖黑名单核对：近三年无老房综合改造获奖题（区别于335/1090加梯等单项，聚焦综合改造）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🔶城镇老旧小区改造政策（住建部）；🔶改造项目数据（须下载核验）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