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1335. “物业透明化，公共收益晒账单”——物业服务（公共收益公示）业主研究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研究对象：关注物业公共收益（电梯广告/停车费）公示的业主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核心问题/变量：公共收益去向（广告/场地租金）、收益公示制度（季度公示）、业主监督（业委会）、收益分配（补充维修资金）、物业信任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公共收益去向（广告/场地租金）、收益公示制度（季度公示）（物业信任）之间存在可检验的关系，且受群体差异（年龄/收入/地区/身份）调节（待验证）；H2：公共收益去向（广告/场地租金）、收益公示制度（季度公示）是影响物业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🔶物业管理条例与公共收益规定（住建部、地方条例）；🔶公共收益案例（须下载核验）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业主问卷+物协/街道访谈；获奖黑名单核对：近三年无公共收益公示获奖题（区别于713物业费）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🔶物业管理条例与公共收益规定（住建部、地方条例）；🔶公共收益案例（须下载核验）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