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1337. “学区房退烧，均衡教育来了”——学区房降温（教育均衡）家长购房研究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研究对象：考虑学区房的家长（多校划片/教师轮岗后）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核心问题/变量：学区房降温（多校划片）、教师轮岗（均衡）、家长择校策略（就近入学）、学区溢价变化、教育公平感知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学区房降温（多校划片）、教师轮岗（均衡）（教育公平感知）之间存在可检验的关系，且受群体差异（年龄/收入/地区/身份）调节（待验证）；H2：学区房降温（多校划片）、教师轮岗（均衡）是影响教育公平感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🔶义务教育招生与均衡政策（教育部）；🔶学区房市场数据（中介报告须下载核验）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家长问卷+中介/教育部门访谈；获奖黑名单核对：近三年无学区房降温获奖题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🔶义务教育招生与均衡政策（教育部）；🔶学区房市场数据（中介报告须下载核验）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