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1338. “物业管家式服务，五星级回家”——物业管家服务（高端住宅）体验研究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研究对象：享受物业管家服务（高端/品质小区）的业主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核心问题/变量：管家服务内容（专属服务/代收代送）、物业费水平（高端物业）、服务响应、增值服务（家政/维修）、续缴意愿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管家服务内容（专属服务/代收代送）、物业费水平（高端物业）（续缴意愿）之间存在可检验的关系，且受群体差异（年龄/收入/地区/身份）调节（待验证）；H2：管家服务内容（专属服务/代收代送）、物业费水平（高端物业）是影响续缴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🔶物业服务分级与品质政策（住建部）；🔶高端物业服务数据（须下载核验）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高端小区业主问卷+物业公司访谈；获奖黑名单核对：近三年无物业管家获奖题（区别于713物业费泛题，聚焦管家模式）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🔶物业服务分级与品质政策（住建部）；🔶高端物业服务数据（须下载核验）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