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1339. “旧改还是拆迁，留改拆之辨”——城市更新（留改拆）居民意愿研究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研究对象：处于城市更新（留改拆）片区的居民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核心问题/变量：留改拆选择（保留/改造/拆除）、居民安置意愿（就地安置/房票）、商业开发与居民利益、参与决策、更新后生活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留改拆选择（保留/改造/拆除）、居民安置意愿（就地安置/房票）（更新后生活）之间存在可检验的关系，且受群体差异（年龄/收入/地区/身份）调节（待验证）；H2：留改拆选择（保留/改造/拆除）、居民安置意愿（就地安置/房票）是影响更新后生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🔶城市更新与留改拆政策（住建部）；🔶城市更新案例数据（须下载核验）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更新片区问卷+规划部门访谈；获奖黑名单核对：近三年无留改拆意愿获奖题（区别于967/1049/1229更新泛题，聚焦居民意愿权衡）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🔶城市更新与留改拆政策（住建部）；🔶城市更新案例数据（须下载核验）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