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177. “独居安全，智能看家”——独居青年家居安防（智能门锁、摄像头、报警）消费研究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研究对象：有"一人食"消费习惯的独居青年/职场人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核心问题/变量：独食场景、餐厅选择偏好（吧台/小份）、心理体验（孤独vs享受）、消费支出、需求缺口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H1：独食场景、餐厅选择偏好（吧台/小份）显著影响需求缺口（待验证）；H2：不同人群（年龄/收入/城市等级）在上述关系中存在调节作用（待验证）。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✅33%消费者会为"一人食"专门消费、21%过去一年增加支出（新潮传媒）；✅新华财经"i人经济"报道；✅一人食餐饮品牌兴起（媒体）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一人食餐厅/外卖平台渠道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✅33%消费者会为"一人食"专门消费、21%过去一年增加支出（新潮传媒）；✅新华财经"i人经济"报道；✅一人食餐饮品牌兴起（媒体）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