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314. “智慧社区，聪明生活”——智慧社区（智能门禁、快递柜、社区大屏）建设与居民满意度研究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研究对象：入住智慧社区/使用智能门禁快递柜的城市居民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核心问题/变量：智慧设施使用、便利性感知、隐私顾虑（人脸门禁）、物业协同、满意度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H1：智慧设施使用、便利性感知（满意度）之间存在可检验的关系，且受群体差异（年龄/收入/地区/身份）调节（待验证）；H2：智慧设施使用、便利性感知是影响满意度的关键因素（待验证）。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🔶智慧社区建设（住建部试点数据需核验）；✅数字中国与城市治理政策背景；✅智能门禁人脸识别讨论（媒体）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社区物业/业主群渠道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🔶智慧社区建设（住建部试点数据需核验）；✅数字中国与城市治理政策背景；✅智能门禁人脸识别讨论（媒体）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