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331. “租房时代，住得有品质”——长租公寓、品牌公寓租住体验与选择研究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建议地区：成都（可按省/市细化抽样框）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研究对象：在品牌长租公寓/保租房居住的 18—35 岁租客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核心问题/变量：租房动机（省心/品质/通勤）、公寓vs房东直租对比、租金承受、服务满意度（维修/管家）、续租意愿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H1：租房动机（省心/品质/通勤）、公寓vs房东直租对比显著影响续租意愿（待验证）；H2：不同人群（年龄/收入/城市等级）在上述关系中存在调节作用（待验证）。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重点10城租金V型反转、三居成交量环比+15%、全国租金中位数约1700元/月（+1.19%）；✅保租房REITs常态化：9只公募REITs、二季度租金收缴率均值99.27%；✅武汉长租公寓规模+40%、成都租金-7%买方市场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泊寓/冠寓/自如等公寓门店渠道；贴近毕业生评委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重点10城租金V型反转、三居成交量环比+15%、全国租金中位数约1700元/月（+1.19%）；✅保租房REITs常态化：9只公募REITs、二季度租金收缴率均值99.27%；✅武汉长租公寓规模+40%、成都租金-7%买方市场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