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333. “整装拎包住，家装新玩法”——家装整装（全包、拎包入住）消费意愿研究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研究对象：近两年装修或计划装修的业主（新房/二手房）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核心问题/变量：装修方式选择（整装/半包/清包）、整装认知与信任、预算、增项顾虑、满意度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装修方式选择（整装/半包/清包）、整装认知与信任（满意度）之间存在可检验的关系，且受群体差异（年龄/收入/地区/身份）调节（待验证）；H2：装修方式选择（整装/半包/清包）、整装认知与信任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✅上海2026年家装市场预计1284亿元、存量翻新占比首超新房、全屋整装渗透率81.29%；✅广州2026年预计突破560亿元、整装渗透率近50%；✅老房翻新、局部改造是核心增长点（中研网）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装修公司/建材市场渠道；与267题（智能家居）区分：聚焦装修业态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✅上海2026年家装市场预计1284亿元、存量翻新占比首超新房、全屋整装渗透率81.29%；✅广州2026年预计突破560亿元、整装渗透率近50%；✅老房翻新、局部改造是核心增长点（中研网）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