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334. “老房翻新，旧屋新生”——存量房翻新、局部改造消费需求研究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建议地区：上海（可按省/市细化抽样框）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研究对象：对老房进行过翻新/局部改造（厨卫/水电）的业主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核心问题/变量：翻新动机（老化/适老/功能）、改造项目（厨卫/墙地面）、预算、施工痛点（扰民/工期）、满意度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H1：翻新动机（老化/适老/功能）、改造项目（厨卫/墙地面）显著影响满意度（待验证）；H2：不同人群（年龄/收入/城市等级）在上述关系中存在调节作用（待验证）。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✅存量房翻新需求占比首超新房（上海）、广州存量翻新占55%；✅行业从"营销获客"转向"交付+口碑"驱动；🔶存量房改造市场规模（行业报告需核验）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装修平台/物业渠道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✅存量房翻新需求占比首超新房（上海）、广州存量翻新占55%；✅行业从"营销获客"转向"交付+口碑"驱动；🔶存量房改造市场规模（行业报告需核验）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