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335. “加装电梯，幸福上楼”——老旧小区加装电梯、居家适老化改造意愿研究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建议地区：北京（可按省/市细化抽样框）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研究对象：老旧小区 55+ 居民（多层无电梯）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核心问题/变量：加装意愿、出资方式接受（政府补贴/按层分摊）、邻里协调难点（低层反对）、推进满意度、适老改造需求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加装意愿、出资方式接受（政府补贴/按层分摊）（适老改造需求）之间存在可检验的关系，且受群体差异（年龄/收入/地区/身份）调节（待验证）；H2：加装意愿、出资方式接受（政府补贴/按层分摊）是影响适老改造需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🔶加装电梯补贴政策（住建部/地方政府）；✅居家适老化改造纳入以旧换新补贴（北京2026，第五六轮证据）；✅"十四五"老旧小区改造规划（背景）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老旧小区社区渠道；民生切入口评接近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🔶加装电梯补贴政策（住建部/地方政府）；✅居家适老化改造纳入以旧换新补贴（北京2026，第五六轮证据）；✅"十四五"老旧小区改造规划（背景）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