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390. “屋顶阳台种菜，都市农夫”——城市家庭种植（阳台种菜、屋顶花园）消费研究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研究对象：有阳台/屋顶种植习惯的城市居民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核心问题/变量：种植品类（蔬菜/香草/多肉）、投入（种子/花盆/土）、动机（健康/解压/省钱）、产出用途、社群交流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H1：种植品类（蔬菜/香草/多肉）、投入（种子/花盆/土）显著影响社群交流（待验证）；H2：不同人群（年龄/收入/城市等级）在上述关系中存在调节作用（待验证）。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🔶城市家庭园艺市场（淘宝/京东园艺数据需核验）；✅"治愈系"消费与情绪经济（已核验27186亿）；✅屋顶绿化/立体绿化政策（住建部背景）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园艺电商用户+社区种植社群渠道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🔶城市家庭园艺市场（淘宝/京东园艺数据需核验）；✅"治愈系"消费与情绪经济（已核验27186亿）；✅屋顶绿化/立体绿化政策（住建部背景）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