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420. “口袋公园，家门口的幸福”——口袋公园、小微绿地使用与建设需求研究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研究对象：经常使用小区旁口袋公园/小微绿地的居民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核心问题/变量：使用时段（晨练/遛娃/社交）、设施需求（座椅/健身/遮阴）、建设评价、参与式规划意愿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H1：使用时段（晨练/遛娃/社交）、设施需求（座椅/健身/遮阴）显著影响参与式规划意愿（待验证）；H2：不同人群（年龄/收入/城市等级）在上述关系中存在调节作用（待验证）。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🔶口袋公园建设（住建部"千园之城"政策背景需核验）；✅"公园20分钟效应"（媒体热议）；✅城市更新与微更新（334题衔接）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口袋公园现场问卷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🔶口袋公园建设（住建部"千园之城"政策背景需核验）；✅"公园20分钟效应"（媒体热议）；✅城市更新与微更新（334题衔接）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