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426. “青年养老院，提前‘退休’”——青年低成本慢生活、养老式居住消费研究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研究阶段：early（早期：需求调查与市场机会挖掘）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确定行业：08_居住与城市更新（选择理由：贴合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研究对象：18—35 岁参与或关注“青年养老院/养老式生活”的青年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核心问题/变量：参与动机（躺平/低消费/心理疗愈）、居住体验、消费结构与月支出、与主流奋斗叙事的冲突认知、持续居住意愿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参与动机（躺平/低消费/心理疗愈）、居住体验（持续居住意愿）之间存在可检验的关系，且受群体差异（年龄/收入/地区/身份）调节（待验证）；H2：参与动机（躺平/低消费/心理疗愈）、居住体验是影响持续居住意愿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🔶“青年养老院”现象报道与案例（主流媒体，须下载核验）；✅青年消费降级/悦己趋势数据（权威媒体）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小红书/抖音社群招募+实地案例（云南、安徽等网红院）访谈；区别于035（一人食）与116（数字戒断）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🔶“青年养老院”现象报道与案例（主流媒体，须下载核验）；✅青年消费降级/悦己趋势数据（权威媒体）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