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570. “阳台种菜，都市田园”——城市家庭阳台种菜、家庭园艺消费研究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研究对象：在阳台/窗台种菜养花的城市居民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核心问题/变量：家庭种植动机（健康/解压/亲子）、种子/土/盆器具消费、智能种植设备（水培机）购买、收获分享与社群、种植坚持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H1：家庭种植动机（健康/解压/亲子）、种子/土/盆器具消费显著影响种植坚持（待验证）；H2：不同人群（年龄/收入/城市等级）在上述关系中存在调节作用（待验证）。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🔶家庭园艺市场数据（行业报告须下载核验）；✅城市绿化与绿色生活政策（住建部）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园艺社群问卷+电商评价分析；区别于513（垂直农场）聚焦家庭场景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🔶家庭园艺市场数据（行业报告须下载核验）；✅城市绿化与绿色生活政策（住建部）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