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572. “老房改造，家的二次青春”——老房翻新、局改焕新消费研究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研究对象：进行老房翻新/局部改造（厨卫/阳台）的业主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核心问题/变量：老房改造动机（居住品质/适老/换新）、局改vs全改决策、旧房改造施工痛点、费用与补贴、改造满意度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房改造动机（居住品质/适老/换新）、局改vs全改决策（改造满意度）之间存在可检验的关系，且受群体差异（年龄/收入/地区/身份）调节（待验证）；H2：老房改造动机（居住品质/适老/换新）、局改vs全改决策是影响改造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🔶存量房改造市场数据（行业报告须下载核验）；✅老旧小区改造政策（住建部）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装修企业渠道+业主社群问卷；区别于333（整装）聚焦存量局改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🔶存量房改造市场数据（行业报告须下载核验）；✅老旧小区改造政策（住建部）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