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573. “租来的精致，改造出租屋”——出租屋改造（低成本焕新）消费研究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研究对象：改造出租屋（贴纸/家具/软装）的租房青年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核心问题/变量：出租屋改造动机（居住幸福/社交展示）、低成本改造策略、便携可带走改造品消费、房东配合度、退租处理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H1：出租屋改造动机（居住幸福/社交展示）、低成本改造策略显著影响退租处理（待验证）；H2：不同人群（年龄/收入/城市等级）在上述关系中存在调节作用（待验证）。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🔶出租屋改造话题数据（小红书/电商报告须下载核验）；✅租赁住房品质政策（住建部）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租房青年社群问卷+家居电商数据；区别于571（合租公约）聚焦改造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🔶出租屋改造话题数据（小红书/电商报告须下载核验）；✅租赁住房品质政策（住建部）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