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574. “口袋公园，转角遇见绿”——城市口袋公园使用与建设满意度研究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研究对象：使用口袋公园/社区微公园的市民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核心问题/变量：口袋公园使用频次与时段、功能需求（健身/遛娃/社交）、可达性、建设满意度、参与共建意愿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口袋公园使用频次与时段、功能需求（健身/遛娃/社交）（参与共建意愿）之间存在可检验的关系，且受群体差异（年龄/收入/地区/身份）调节（待验证）；H2：口袋公园使用频次与时段、功能需求（健身/遛娃/社交）是影响参与共建意愿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✅口袋公园建设政策（住建部）；🔶城市微更新案例数据（须下载核验）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公园实地问卷+城管/园林部门访谈；区别于024（宠物友好社区）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✅口袋公园建设政策（住建部）；🔶城市微更新案例数据（须下载核验）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