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575. “以旧换新，家电大焕新”——家电以旧换新政策下的消费升级研究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研究对象：参与家电以旧换新补贴的消费者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核心问题/变量：换新动机（补贴/能耗/功能）、补贴申领体验、品类偏好（空调/冰箱/厨电）、旧机回收处理、政策满意度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H1：换新动机（补贴/能耗/功能）、补贴申领体验显著影响政策满意度（待验证）；H2：不同人群（年龄/收入/城市等级）在上述关系中存在调节作用（待验证）。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✅以旧换新实施方案（发改委、商务部）；🔶家电换新销量数据（行业报告须下载核验）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家电卖场问卷+品牌渠道访谈；区别于064（政策红利期）聚焦家电品类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✅以旧换新实施方案（发改委、商务部）；🔶家电换新销量数据（行业报告须下载核验）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