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061. “国补焕新，家电升级”——家电以旧换新政策下居民参与行为与满意度研究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研究对象：近一年参与过家电以旧换新的居民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核心问题/变量：政策知晓度、参与行为、感知补贴价值、换新满意度、再购意愿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H1：政策知晓度、参与行为（再购意愿）之间存在可检验的关系，且受群体差异（年龄/收入/地区/身份）调节（待验证）；H2：政策知晓度、参与行为是影响再购意愿的关键因素（待验证）。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✅商务部等7部门《关于提质增效实施2026年消费品以旧换新政策的通知》（商消费函〔2025〕697号）：6类家电按售价15%补贴、单件最高1500元；✅截至2026年6月带动家电及数码销售超1.3亿台、销售额4500多亿元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家电卖场/电商以旧换新专区渠道可触达；政策热度高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✅商务部等7部门《关于提质增效实施2026年消费品以旧换新政策的通知》（商消费函〔2025〕697号）：6类家电按售价15%补贴、单件最高1500元；✅截至2026年6月带动家电及数码销售超1.3亿台、销售额4500多亿元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