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627. “全屋定制甲醛，环保焦虑”——家装环保（甲醛治理、环保板材）消费研究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确定行业：08_居住与城市更新（选择理由：贴合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研究对象：近期装修并关注环保（除醛服务/环保建材）的业主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核心问题/变量：甲醛焦虑程度、环保板材/家具溢价接受、除醛服务（检测/治理）消费、入住前晾置习惯、儿童健康考量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H1：甲醛焦虑程度、环保板材/家具溢价接受显著影响儿童健康考量（待验证）；H2：不同人群（年龄/收入/城市等级）在上述关系中存在调节作用（待验证）。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✅室内空气质量标准（生态环境部）；🔶除醛服务市场数据（行业报告须下载核验）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装修社群问卷+治理机构访谈；获奖黑名单核对：近三年无家装除醛获奖题（区别于老房改造）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✅室内空气质量标准（生态环境部）；🔶除醛服务市场数据（行业报告须下载核验）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