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713. “物业费涨价，服务跟上了吗”——物业费调整与物业服务质量研究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确定行业：08_居住与城市更新（选择理由：贴合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研究对象：经历物业费调整的住宅小区业主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核心问题/变量：物业费调价知晓与意见、服务感知（保洁/安保/维修）、业委会作用、业主自治参与、满意度与续约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物业费调价知晓与意见、服务感知（保洁/安保/维修）（满意度与续约）之间存在可检验的关系，且受群体差异（年龄/收入/地区/身份）调节（待验证）；H2：物业费调价知晓与意见、服务感知（保洁/安保/维修）是影响满意度与续约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✅物业管理条例与收费规范（住建部）；🔶物业纠纷案例数据（消协须下载核验）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小区业主问卷+物管访谈；获奖黑名单核对：近三年无物业费获奖题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✅物业管理条例与收费规范（住建部）；🔶物业纠纷案例数据（消协须下载核验）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