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741. “第二套房，改善还是投资”——改善型购房（二套）决策研究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确定行业：08_居住与城市更新（选择理由：贴合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研究对象：近期购买/考虑购买二套改善住房的家庭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核心问题/变量：改善动机（面积/学区/养老）、政策（首付/利率）影响、卖一买一置换链、区域选择、购房信心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H1：改善动机（面积/学区/养老）、政策（首付/利率）影响显著影响购房信心（待验证）；H2：不同人群（年龄/收入/城市等级）在上述关系中存在调节作用（待验证）。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✅房地产调控政策（住建部、央行）；🔶二手房交易数据（须下载核验）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房产中介渠道+购房者问卷；获奖黑名单核对：近三年无改善房获奖题（区别于旧改）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✅房地产调控政策（住建部、央行）；🔶二手房交易数据（须下载核验）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