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837. “租房结婚，裸婚新选择”——租房结婚（无房结婚）观念与消费研究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研究对象：租房结婚/计划租房结婚的年轻人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核心问题/变量：租房结婚接受度、与买房结婚对比（彩礼/首付压力）、双方家庭观念、租房品质（长租公寓）、未来购房计划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租房结婚接受度、与买房结婚对比（彩礼/首付压力）（未来购房计划）之间存在可检验的关系，且受群体差异（年龄/收入/地区/身份）调节（待验证）；H2：租房结婚接受度、与买房结婚对比（彩礼/首付压力）是影响未来购房计划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🔶住房租赁政策（住建部）；🔶青年婚育观念调查数据（须下载核验）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青年社群问卷+长租平台访谈；获奖黑名单核对：近三年无租房结婚获奖题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🔶住房租赁政策（住建部）；🔶青年婚育观念调查数据（须下载核验）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