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886. “保租房申请，新市民安居”——保障性租赁住房申请与居住体验研究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确定行业：08_居住与城市更新（选择理由：贴合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研究对象：申请/入住保障性租赁住房（保租房）的新市民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核心问题/变量：保租房申请条件与流程、租金优势（低于市场）、房源配套（通勤/设施）、与市场化长租对比、居住满意度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保租房申请条件与流程、租金优势（低于市场）（居住满意度）之间存在可检验的关系，且受群体差异（年龄/收入/地区/身份）调节（待验证）；H2：保租房申请条件与流程、租金优势（低于市场）是影响居住满意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🔶保障性租赁住房政策（国务院、住建部）；🔶保租房建设数据（住建部发布须下载核验）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保租房项目问卷+运营方访谈；获奖黑名单核对：近三年无保租房获奖题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🔶保障性租赁住房政策（国务院、住建部）；🔶保租房建设数据（住建部发布须下载核验）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