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913. “老房子加装电梯，一票难求”——老旧小区加装电梯协商与实施研究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研究对象：经历加装电梯（成功/失败）的老旧小区居民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核心问题/变量：加装电梯意愿（高层vs低层）、费用分摊方案、采光/噪音顾虑、施工协调、政策补贴、加装后便利度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加装电梯意愿（高层vs低层）、费用分摊方案（加装后便利度）之间存在可检验的关系，且受群体差异（年龄/收入/地区/身份）调节（待验证）；H2：加装电梯意愿（高层vs低层）、费用分摊方案是影响加装后便利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🔶老旧小区加装电梯政策（住建部、地方条例）；🔶加装电梯数据（须下载核验）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小区问卷+街道/电梯企业访谈；获奖黑名单核对：近三年无加装电梯获奖题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🔶老旧小区加装电梯政策（住建部、地方条例）；🔶加装电梯数据（须下载核验）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