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933. “长租公寓暴雷后，租金贷警示”——长租公寓（租金贷、暴雷）风险与租客权益研究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研究对象：经历长租公寓暴雷/租金贷纠纷的租客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核心问题/变量：租金贷签约经历（年付/贷款）、暴雷后租金损失、维权渠道（警方/法院）、风险识别（高收低租）、后续租房选择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租金贷签约经历（年付/贷款）、暴雷后租金损失（后续租房选择）之间存在可检验的关系，且受群体差异（年龄/收入/地区/身份）调节（待验证）；H2：租金贷签约经历（年付/贷款）、暴雷后租金损失是影响后续租房选择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🔶长租公寓资金监管政策（住建部、金融监管总局）；🔶租金贷风险案例（须下载核验）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租客社群问卷+住建部门访谈；获奖黑名单核对：近三年无长租暴雷获奖题（区别于610押金监管，聚焦租金贷）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🔶长租公寓资金监管政策（住建部、金融监管总局）；🔶租金贷风险案例（须下载核验）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