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967. “城中村改造，新市民安家”——城中村改造（拆整结合）居民安置与消费研究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建议地区：城中村（可按省/市细化抽样框）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研究对象：经历城中村改造的居民（回迁/货币安置）、改造运营方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核心问题/变量：改造模式（拆除/整治）、安置方式选择（回迁房/补偿金）、过渡期生活、改造后租金/房价变化、新市民就业居住、满意度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改造模式（拆除/整治）、安置方式选择（回迁房/补偿金）（满意度）之间存在可检验的关系，且受群体差异（年龄/收入/地区/身份）调节（待验证）；H2：改造模式（拆除/整治）、安置方式选择（回迁房/补偿金）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🔶城中村改造政策（国务院、住建部）；🔶城中村改造数据（须下载核验）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改造片区问卷+住建部门访谈；获奖黑名单核对：近三年无城中村改造获奖题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🔶城中村改造政策（国务院、住建部）；🔶城中村改造数据（须下载核验）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