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984. “全屋智能家居，改造门槛”——全屋智能（智能家居）改造消费研究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确定行业：08_居住与城市更新（选择理由：贴合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研究对象：装修时配置全屋智能（灯光/窗帘/安防）的家庭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核心问题/变量：全屋智能配置预算（万元级）、品牌生态选择（米家/华为）、布线安装复杂度、语音/App使用、故障与售后、满意度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H1：全屋智能配置预算（万元级）、品牌生态选择（米家/华为）显著影响满意度（待验证）；H2：不同人群（年龄/收入/城市等级）在上述关系中存在调节作用（待验证）。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🔶智能家居与全屋智能政策（工信部、住建部）；🔶全屋智能市场数据（行业报告须下载核验）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装修渠道问卷+智能家居服务商访谈；获奖黑名单核对：近三年无全屋智能获奖题（区别于298智能家居泛题，聚焦整装改造）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🔶智能家居与全屋智能政策（工信部、住建部）；🔶全屋智能市场数据（行业报告须下载核验）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