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1039. “绿电消费，企业降碳”——高耗能企业绿电采购（绿证、绿电交易）意愿研究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确定行业：15_绿色低碳与循环经济（选择理由：贴合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研究对象：采购绿电/绿证的制造企业（出口导向）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核心问题/变量：绿电交易参与（绿证/直购）、碳关税（CBAM）压力、绿色电力溢价接受、供应链碳要求、ESG披露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绿电交易参与（绿证/直购）、碳关税（CBAM）压力（ESG披露）之间存在可检验的关系，且受群体差异（年龄/收入/地区/身份）调节（待验证）；H2：绿电交易参与（绿证/直购）、碳关税（CBAM）压力是影响ESG披露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🔶绿色电力交易与绿证政策（发改委、能源局）；🔶绿电交易数据（全国电力交易中心须下载核验）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企业问卷+电力交易中心访谈；获奖黑名单核对：近三年无绿电采购获奖题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🔶绿色电力交易与绿证政策（发改委、能源局）；🔶绿电交易数据（全国电力交易中心须下载核验）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