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1161. “碳市场扩容，钢铁水泥入市”——全国碳市场扩容（钢铁、水泥、电解铝）企业研究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确定行业：15_绿色低碳与循环经济（选择理由：贴合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研究对象：纳入全国碳市场扩容行业的控排企业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核心问题/变量：碳配额分配与履约、碳价上升（120元+/吨）、减排技术投入、碳数据报送、中小企业应对（成本传导）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碳配额分配与履约、碳价上升（120元+/吨）（中小企业应对（成本传导））之间存在可检验的关系，且受群体差异（年龄/收入/地区/身份）调节（待验证）；H2：碳配额分配与履约、碳价上升（120元+/吨）是影响中小企业应对（成本传导）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🔶全国碳市场扩围政策（生态环境部）；🔶碳价与交易数据（全国碳市场须下载核验）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控排企业问卷+碳交易机构访谈；获奖黑名单核对：近三年无碳市场扩容获奖题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🔶全国碳市场扩围政策（生态环境部）；🔶碳价与交易数据（全国碳市场须下载核验）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