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1162. “产品碳足迹，出口新护照”——产品碳足迹（碳标签）出口企业应对研究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研究对象：面临碳足迹/碳关税（CBAM）要求的出口企业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核心问题/变量：碳足迹核算要求（欧盟新规）、碳标签认知、低碳改造成本、绿色供应链、出口竞争力影响、政策支持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碳足迹核算要求（欧盟新规）、碳标签认知（政策支持）之间存在可检验的关系，且受群体差异（年龄/收入/地区/身份）调节（待验证）；H2：碳足迹核算要求（欧盟新规）、碳标签认知是影响政策支持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🔶产品碳足迹核算标准与政策（发改委、市场监管总局）；🔶碳关税应对数据（须下载核验）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出口制造企业问卷+认证机构访谈；获奖黑名单核对：近三年无产品碳足迹获奖题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🔶产品碳足迹核算标准与政策（发改委、市场监管总局）；🔶碳关税应对数据（须下载核验）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