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1163. “节能家电换代，一级能效”——一级能效家电（补贴）消费升级研究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研究对象：选购一级能效家电（补贴范围）的消费者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核心问题/变量：能效等级选择（一级vs三级）、国补叠加（以旧换新+能效）、长期电费节省感知、绿色家电溢价接受、换新时机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H1：能效等级选择（一级vs三级）、国补叠加（以旧换新+能效）显著影响换新时机（待验证）；H2：不同人群（年龄/收入/城市等级）在上述关系中存在调节作用（待验证）。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🔶家电能效标识与绿色消费政策（发改委、市场监管总局）；🔶能效家电市场数据（须下载核验）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家电卖场问卷+渠道访谈；获奖黑名单核对：近三年无一级能效家电获奖题（区别于66绿色家电泛题、61国补，聚焦能效等级决策）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🔶家电能效标识与绿色消费政策（发改委、市场监管总局）；🔶能效家电市场数据（须下载核验）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