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1165. “动力电池回收，退役电池重生”——动力电池回收（退役潮）体系研究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研究对象：动力电池回收企业、车企、电池消费者（车主）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核心问题/变量：电池退役潮（8年质保到期）、回收渠道（正规vs小作坊）、梯次利用（储能/备电）、回收价格、车主处置感知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H1：电池退役潮（8年质保到期）、回收渠道（正规vs小作坊）显著影响车主处置感知（待验证）；H2：不同人群（年龄/收入/城市等级）在上述关系中存在调节作用（待验证）。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🔶动力电池回收利用政策（工信部）；🔶退役电池规模数据（须下载核验）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回收企业访谈+车主问卷；获奖黑名单核对：近三年无动力电池回收获奖题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🔶动力电池回收利用政策（工信部）；🔶退役电池规模数据（须下载核验）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