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1169. “二手时尚，中古店淘金”——中古店、二手时尚（中古包、古着）消费研究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研究对象：光顾中古店（中古包/古着）的时尚消费者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核心问题/变量：中古消费动机（稀缺/保值/环保）、中古包价格（香奈儿中古）、真假鉴定（鉴定费）、古着卫生顾虑、复购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H1：中古消费动机（稀缺/保值/环保）、中古包价格（香奈儿中古）显著影响复购（待验证）；H2：不同人群（年龄/收入/城市等级）在上述关系中存在调节作用（待验证）。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🔶二手商品流通与鉴定规范（市场监管总局）；🔶中古市场数据（须下载核验）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中古店实地问卷+店主访谈；获奖黑名单核对：近三年无中古店获奖题（区别于217古着回潮、514租衣，聚焦中古业态）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🔶二手商品流通与鉴定规范（市场监管总局）；🔶中古市场数据（须下载核验）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