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1170. “碳积分2.0，全民碳账本”——个人碳账户（碳积分）激励机制研究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确定行业：15_绿色低碳与循环经济（选择理由：贴合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研究对象：参与个人碳账户（碳积分/碳普惠）的市民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核心问题/变量：个人碳账户开通（乘车/骑行/绿色消费积碳）、积分兑换（权益）、碳账户激励效果、企业碳普惠（支付宝森林）、持续参与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个人碳账户开通（乘车/骑行/绿色消费积碳）、积分兑换（权益）（持续参与）之间存在可检验的关系，且受群体差异（年龄/收入/地区/身份）调节（待验证）；H2：个人碳账户开通（乘车/骑行/绿色消费积碳）、积分兑换（权益）是影响持续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🔶个人碳账户试点政策（发改委、地方）；🔶碳普惠数据（须下载核验）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市民问卷+碳普惠平台访谈；获奖黑名单核对：近三年无个人碳账户获奖题（区别于90/715碳普惠泛题，聚焦账户机制）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🔶个人碳账户试点政策（发改委、地方）；🔶碳普惠数据（须下载核验）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