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117. “以竹代塑，绿色生活”——以竹代塑产品消费认知与购买研究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研究对象：购买过或了解剩菜盲盒/临期食品盲盒的 18—40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核心问题/变量：尝鲜动机、价格敏感、食品安全担忧、品牌信任、复购与传播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H1：尝鲜动机、价格敏感显著影响复购与传播（待验证）；H2：不同人群（年龄/收入/城市等级）在上述关系中存在调节作用（待验证）。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🔶剩菜盲盒为社交媒体热门消费形式（惜食魔法袋等平台发展，媒体线索）；✅《反食品浪费法》（2021年施行，法律背景）；✅临期食品消费（第三批70题姊妹篇）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惜食魔法袋类平台用户/咖啡烘焙店渠道；契合《反食品浪费法》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🔶剩菜盲盒为社交媒体热门消费形式（惜食魔法袋等平台发展，媒体线索）；✅《反食品浪费法》（2021年施行，法律背景）；✅临期食品消费（第三批70题姊妹篇）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