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217. “旧衣新生，古着回潮”——旧衣回收与古着（Vintage）消费行为研究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确定行业：15_绿色低碳与循环经济（选择理由：贴合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研究对象：参与旧衣回收或购买古着的 18—40 岁消费者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核心问题/变量：回收渠道（回收箱/平台上门）、动机（环保/省钱/时尚）、古着购买频率、品质顾虑、循环认同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H1：回收渠道（回收箱/平台上门）、动机（环保/省钱/时尚）显著影响循环认同（待验证）；H2：不同人群（年龄/收入/城市等级）在上述关系中存在调节作用（待验证）。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🔶旧衣回收与古着市场规模（行业报告需核验）；✅循环经济政策（发改委"以竹代塑"等绿色消费政策背景）；✅二手闲置交易用户规模（🔶闲鱼报告需下载）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古着店/旧衣回收平台社群渠道；与28题（二手数码）区分：聚焦服装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🔶旧衣回收与古着市场规模（行业报告需核验）；✅循环经济政策（发改委"以竹代塑"等绿色消费政策背景）；✅二手闲置交易用户规模（🔶闲鱼报告需下载）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