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218. “再生材料，绿色买单”——rPET、再生纤维等环保材质产品消费偏好研究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研究对象：购买过环保材质（再生塑料瓶/再生纤维服饰/环保包装）产品的消费者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核心问题/变量：环保材质认知、购买动机、溢价接受（清洁标签68%溢价背景）、品质信任、复购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H1：环保材质认知、购买动机显著影响复购（待验证）；H2：不同人群（年龄/收入/城市等级）在上述关系中存在调节作用（待验证）。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✅68%消费者愿为"清洁标签"付溢价（第五六轮证据复用）；🔶再生材料消费调研（行业报告需核验）；✅"双碳"政策与绿色消费促进政策背景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环保品牌（Patagonia/Allbirds/国产环保系列）用户渠道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✅68%消费者愿为"清洁标签"付溢价（第五六轮证据复用）；🔶再生材料消费调研（行业报告需核验）；✅"双碳"政策与绿色消费促进政策背景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